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197F6" w14:textId="69E97E8B" w:rsidR="004C2E6E" w:rsidRDefault="004C2E6E" w:rsidP="00827BAF">
      <w:pPr>
        <w:pStyle w:val="OZNPROJEKTUwskazaniedatylubwersjiprojektu"/>
      </w:pPr>
      <w:r>
        <w:t xml:space="preserve">Projekt z </w:t>
      </w:r>
      <w:r w:rsidR="00467BF7">
        <w:t xml:space="preserve">dnia </w:t>
      </w:r>
      <w:r w:rsidR="00692D3D">
        <w:t>18</w:t>
      </w:r>
      <w:r w:rsidR="00467BF7">
        <w:t xml:space="preserve"> </w:t>
      </w:r>
      <w:r w:rsidR="00692D3D">
        <w:t xml:space="preserve">września </w:t>
      </w:r>
      <w:r w:rsidR="00467BF7">
        <w:t>2023 r.</w:t>
      </w:r>
    </w:p>
    <w:p w14:paraId="65E82A04" w14:textId="6E1EC8BF" w:rsidR="002F7CED" w:rsidRPr="00DE5FF7" w:rsidRDefault="002F7CED" w:rsidP="002F7CED">
      <w:pPr>
        <w:pStyle w:val="OZNRODZAKTUtznustawalubrozporzdzenieiorganwydajcy"/>
      </w:pPr>
      <w:r w:rsidRPr="00DE5FF7">
        <w:t>ROZPORZĄDZENIE</w:t>
      </w:r>
    </w:p>
    <w:p w14:paraId="16A0CD46" w14:textId="77777777" w:rsidR="002F7CED" w:rsidRPr="004968F1" w:rsidRDefault="002F7CED" w:rsidP="002F7CED">
      <w:pPr>
        <w:pStyle w:val="OZNRODZAKTUtznustawalubrozporzdzenieiorganwydajcy"/>
        <w:rPr>
          <w:rStyle w:val="IGindeksgrny"/>
        </w:rPr>
      </w:pPr>
      <w:r>
        <w:t>ministra rozwoju i technologii</w:t>
      </w:r>
      <w:r w:rsidRPr="003E1AB1">
        <w:rPr>
          <w:rStyle w:val="IGPindeksgrnyipogrubienie"/>
        </w:rPr>
        <w:footnoteReference w:id="2"/>
      </w:r>
      <w:r w:rsidRPr="00C13C98">
        <w:rPr>
          <w:rStyle w:val="IGPindeksgrnyipogrubienie"/>
        </w:rPr>
        <w:t>)</w:t>
      </w:r>
    </w:p>
    <w:p w14:paraId="31EFA689" w14:textId="77777777" w:rsidR="002F7CED" w:rsidRPr="006842C4" w:rsidRDefault="002F7CED" w:rsidP="002F7CED">
      <w:pPr>
        <w:pStyle w:val="DATAAKTUdatauchwalenialubwydaniaaktu"/>
      </w:pPr>
      <w:r w:rsidRPr="006842C4">
        <w:t>z dnia ………</w:t>
      </w:r>
      <w:r>
        <w:t>……….. 2023 r.</w:t>
      </w:r>
    </w:p>
    <w:p w14:paraId="51D4A0C6" w14:textId="77777777" w:rsidR="002F7CED" w:rsidRDefault="002F7CED" w:rsidP="002F7CED">
      <w:pPr>
        <w:pStyle w:val="TYTUAKTUprzedmiotregulacjiustawylubrozporzdzenia"/>
      </w:pPr>
      <w:r w:rsidRPr="006842C4">
        <w:t xml:space="preserve">zmieniające rozporządzenie </w:t>
      </w:r>
      <w:r w:rsidRPr="00BB10F5">
        <w:t>w sprawie zbiorów danych przestrzennych oraz metadanych w zakresie zagospodarowania przestrzennego</w:t>
      </w:r>
    </w:p>
    <w:p w14:paraId="65289EF3" w14:textId="6E5EA52B" w:rsidR="002F7CED" w:rsidRPr="002F7CED" w:rsidRDefault="002F7CED" w:rsidP="002F7CED">
      <w:pPr>
        <w:pStyle w:val="ARTartustawynprozporzdzenia"/>
      </w:pPr>
      <w:r w:rsidRPr="00F56F39">
        <w:t xml:space="preserve">Na podstawie art. 67b ustawy z dnia 27 marca 2003 r. o </w:t>
      </w:r>
      <w:r w:rsidRPr="002F7CED">
        <w:t xml:space="preserve">planowaniu i zagospodarowaniu przestrzennym (Dz. U. z </w:t>
      </w:r>
      <w:r w:rsidR="00FB2C40">
        <w:t>2023 r.</w:t>
      </w:r>
      <w:r w:rsidRPr="002F7CED">
        <w:t xml:space="preserve"> poz. </w:t>
      </w:r>
      <w:r w:rsidR="00552288">
        <w:t>977, 1506, 1597, 1688, 1890 i 2029</w:t>
      </w:r>
      <w:r w:rsidR="00552288" w:rsidRPr="002F7CED">
        <w:t xml:space="preserve">) </w:t>
      </w:r>
      <w:r w:rsidRPr="002F7CED">
        <w:t>zarządza się, co następuje:</w:t>
      </w:r>
    </w:p>
    <w:p w14:paraId="6266B401" w14:textId="691E89B6" w:rsidR="002F7CED" w:rsidRPr="002F7CED" w:rsidRDefault="002F7CED" w:rsidP="002F7CED">
      <w:pPr>
        <w:pStyle w:val="ARTartustawynprozporzdzenia"/>
      </w:pPr>
      <w:r w:rsidRPr="00BB10F5">
        <w:rPr>
          <w:rStyle w:val="Ppogrubienie"/>
        </w:rPr>
        <w:t>§</w:t>
      </w:r>
      <w:r w:rsidRPr="002F7CED">
        <w:rPr>
          <w:rStyle w:val="Ppogrubienie"/>
        </w:rPr>
        <w:t xml:space="preserve"> 1. </w:t>
      </w:r>
      <w:r w:rsidRPr="002F7CED">
        <w:t>W rozporządzeniu Ministra Rozwoju, Pracy i Technologii z dnia 26 października 2020 r. w sprawie zbiorów danych przestrzennych oraz metadanych w zakresie zagospodarowania przestrzennego (Dz. U. poz. 1916) wprowadza się następujące zmiany:</w:t>
      </w:r>
    </w:p>
    <w:p w14:paraId="5E2BC5D6" w14:textId="4BE8687F" w:rsidR="003D7779" w:rsidRDefault="002F7CED" w:rsidP="003D7779">
      <w:pPr>
        <w:pStyle w:val="PKTpunkt"/>
      </w:pPr>
      <w:r>
        <w:t>1)</w:t>
      </w:r>
      <w:r w:rsidRPr="002F7CED">
        <w:tab/>
      </w:r>
      <w:bookmarkStart w:id="0" w:name="_Hlk140755733"/>
      <w:r w:rsidRPr="002F7CED">
        <w:t xml:space="preserve">w § 2 uchyla się </w:t>
      </w:r>
      <w:r w:rsidR="00907458">
        <w:t>pkt</w:t>
      </w:r>
      <w:r w:rsidRPr="002F7CED">
        <w:t xml:space="preserve"> 1</w:t>
      </w:r>
      <w:bookmarkEnd w:id="0"/>
      <w:r w:rsidRPr="002F7CED">
        <w:t>;</w:t>
      </w:r>
    </w:p>
    <w:p w14:paraId="42B8DDFF" w14:textId="7104BF4C" w:rsidR="002F7CED" w:rsidRPr="005146AF" w:rsidRDefault="002F7CED" w:rsidP="003D7779">
      <w:pPr>
        <w:pStyle w:val="PKTpunkt"/>
      </w:pPr>
      <w:r>
        <w:t>2</w:t>
      </w:r>
      <w:r w:rsidRPr="002F7CED">
        <w:t>)</w:t>
      </w:r>
      <w:r w:rsidRPr="002F7CED">
        <w:tab/>
      </w:r>
      <w:bookmarkStart w:id="1" w:name="_Hlk140755948"/>
      <w:r w:rsidRPr="002F7CED">
        <w:t xml:space="preserve">w </w:t>
      </w:r>
      <w:r w:rsidRPr="005146AF">
        <w:t xml:space="preserve">§ </w:t>
      </w:r>
      <w:r w:rsidRPr="002F7CED">
        <w:t>3</w:t>
      </w:r>
      <w:r w:rsidRPr="005146AF">
        <w:t>:</w:t>
      </w:r>
    </w:p>
    <w:p w14:paraId="2DBA7BA7" w14:textId="2B5223B6" w:rsidR="00637713" w:rsidRPr="00637713" w:rsidRDefault="002F7CED" w:rsidP="00827BAF">
      <w:pPr>
        <w:pStyle w:val="LITlitera"/>
      </w:pPr>
      <w:r w:rsidRPr="005146AF">
        <w:t>a)</w:t>
      </w:r>
      <w:r w:rsidR="004C2E6E">
        <w:tab/>
      </w:r>
      <w:r w:rsidRPr="005146AF">
        <w:t xml:space="preserve">w </w:t>
      </w:r>
      <w:r w:rsidRPr="002F7CED">
        <w:t>ust. 1</w:t>
      </w:r>
      <w:r w:rsidR="00FB2C40">
        <w:t xml:space="preserve"> </w:t>
      </w:r>
      <w:r w:rsidR="00B961E6">
        <w:t>w pkt 1 lit.</w:t>
      </w:r>
      <w:r w:rsidRPr="002F7CED">
        <w:t xml:space="preserve"> </w:t>
      </w:r>
      <w:r w:rsidR="00637713">
        <w:t>b</w:t>
      </w:r>
      <w:r w:rsidR="00FB2C40">
        <w:t xml:space="preserve"> i c</w:t>
      </w:r>
      <w:r w:rsidRPr="002F7CED">
        <w:t xml:space="preserve"> </w:t>
      </w:r>
      <w:r w:rsidR="00637713" w:rsidRPr="00637713">
        <w:t>otrzymuj</w:t>
      </w:r>
      <w:r w:rsidR="00FB2C40">
        <w:t>ą</w:t>
      </w:r>
      <w:r w:rsidR="00637713" w:rsidRPr="00637713">
        <w:t xml:space="preserve"> brzmienie:</w:t>
      </w:r>
    </w:p>
    <w:p w14:paraId="29A7FC01" w14:textId="3D9FD878" w:rsidR="00637713" w:rsidRPr="002F7CED" w:rsidRDefault="00637713" w:rsidP="003D7779">
      <w:pPr>
        <w:pStyle w:val="ZLITLITwPKTzmlitwpktliter"/>
      </w:pPr>
      <w:r w:rsidRPr="00637713">
        <w:t>„</w:t>
      </w:r>
      <w:r>
        <w:t>b</w:t>
      </w:r>
      <w:r w:rsidRPr="00637713">
        <w:t>)</w:t>
      </w:r>
      <w:r w:rsidR="004C2E6E">
        <w:tab/>
      </w:r>
      <w:r w:rsidRPr="00637713">
        <w:t>plan ogólny gminy, oznaczany kodem „POG”,</w:t>
      </w:r>
    </w:p>
    <w:p w14:paraId="265A261C" w14:textId="6AED7A32" w:rsidR="008754A6" w:rsidRPr="005146AF" w:rsidRDefault="00904CBB" w:rsidP="003D7779">
      <w:pPr>
        <w:pStyle w:val="ZLITLITwPKTzmlitwpktliter"/>
      </w:pPr>
      <w:r>
        <w:t>c)</w:t>
      </w:r>
      <w:r w:rsidR="0050176E">
        <w:tab/>
      </w:r>
      <w:r w:rsidR="008D5EFA">
        <w:t>miejscowe</w:t>
      </w:r>
      <w:r w:rsidR="00827BAF">
        <w:t xml:space="preserve"> </w:t>
      </w:r>
      <w:r w:rsidR="00637713" w:rsidRPr="007061A3">
        <w:t>plany</w:t>
      </w:r>
      <w:r w:rsidR="00637713" w:rsidRPr="00637713">
        <w:t xml:space="preserve"> obejmujące miejscowe plany zagospodarowania przestrzennego, w tym zintegrowane plany inwestycyjne i miejscowe plany rewitalizacji, oraz miejscowe plany odbudowy, </w:t>
      </w:r>
      <w:r w:rsidR="00F249BF" w:rsidRPr="00637713">
        <w:t>oznaczan</w:t>
      </w:r>
      <w:r w:rsidR="00F249BF">
        <w:t>y</w:t>
      </w:r>
      <w:r w:rsidR="00F249BF" w:rsidRPr="00637713">
        <w:t xml:space="preserve"> </w:t>
      </w:r>
      <w:r w:rsidR="00637713" w:rsidRPr="00637713">
        <w:t>kodem „MPZP”</w:t>
      </w:r>
      <w:r>
        <w:t>;</w:t>
      </w:r>
      <w:r w:rsidR="00637713" w:rsidRPr="00637713">
        <w:t>”,</w:t>
      </w:r>
      <w:bookmarkEnd w:id="1"/>
    </w:p>
    <w:p w14:paraId="6E73FA6D" w14:textId="593ADD4D" w:rsidR="002F7CED" w:rsidRPr="002F7CED" w:rsidRDefault="002F7CED" w:rsidP="002F7CED">
      <w:pPr>
        <w:pStyle w:val="LITlitera"/>
      </w:pPr>
      <w:r w:rsidRPr="005146AF">
        <w:t>b)</w:t>
      </w:r>
      <w:r w:rsidR="004C2E6E">
        <w:tab/>
      </w:r>
      <w:r w:rsidRPr="005146AF">
        <w:t xml:space="preserve">ust. </w:t>
      </w:r>
      <w:r w:rsidRPr="002F7CED">
        <w:t>2 otrzymuje brzmienie:</w:t>
      </w:r>
    </w:p>
    <w:p w14:paraId="725B1990" w14:textId="2221303F" w:rsidR="002F7CED" w:rsidRDefault="00A00103" w:rsidP="003D7779">
      <w:pPr>
        <w:pStyle w:val="ZLITUSTzmustliter"/>
      </w:pPr>
      <w:r>
        <w:t>„</w:t>
      </w:r>
      <w:r w:rsidR="002F7CED" w:rsidRPr="002F7CED">
        <w:t>2. W zbiorze danych przestrzennych gromadzi się dane o obiektach przestrzennych zgodnie z zakresem informacyjnym</w:t>
      </w:r>
      <w:r w:rsidR="00735CEC">
        <w:t xml:space="preserve"> </w:t>
      </w:r>
      <w:r w:rsidR="002F7CED" w:rsidRPr="002F7CED">
        <w:t>i strukturą określonymi w załączniku nr 1</w:t>
      </w:r>
      <w:r w:rsidR="007C4D35">
        <w:t xml:space="preserve"> do rozporządzenia</w:t>
      </w:r>
      <w:r w:rsidR="002F7CED" w:rsidRPr="002F7CED">
        <w:t>.</w:t>
      </w:r>
      <w:r w:rsidR="00585890">
        <w:t>”</w:t>
      </w:r>
      <w:r w:rsidR="002F7CED" w:rsidRPr="002F7CED">
        <w:t>,</w:t>
      </w:r>
    </w:p>
    <w:p w14:paraId="0B65714E" w14:textId="5D98E9B0" w:rsidR="00E52679" w:rsidRPr="002F7CED" w:rsidRDefault="00E52679" w:rsidP="00E52679">
      <w:pPr>
        <w:pStyle w:val="LITlitera"/>
      </w:pPr>
      <w:r>
        <w:t>c)</w:t>
      </w:r>
      <w:r>
        <w:tab/>
      </w:r>
      <w:r w:rsidRPr="00E52679">
        <w:t xml:space="preserve">po ust. </w:t>
      </w:r>
      <w:r>
        <w:t>4</w:t>
      </w:r>
      <w:r w:rsidRPr="00E52679">
        <w:t xml:space="preserve"> dodaje się ust. </w:t>
      </w:r>
      <w:r>
        <w:t>4</w:t>
      </w:r>
      <w:r w:rsidRPr="00E52679">
        <w:t>a w brzmieniu:</w:t>
      </w:r>
    </w:p>
    <w:p w14:paraId="529ADDBD" w14:textId="58AEBD70" w:rsidR="00E52679" w:rsidRDefault="00E52679" w:rsidP="00E52679">
      <w:pPr>
        <w:pStyle w:val="ZLITUSTzmustliter"/>
      </w:pPr>
      <w:r>
        <w:lastRenderedPageBreak/>
        <w:t>„4</w:t>
      </w:r>
      <w:r w:rsidRPr="002F7CED">
        <w:t xml:space="preserve">a. </w:t>
      </w:r>
      <w:r w:rsidRPr="00E52679">
        <w:t>Lokalizację przestrzenną obiektów przestrzennych zawartych w zbiorze danych przestrzennych</w:t>
      </w:r>
      <w:r>
        <w:t>,</w:t>
      </w:r>
      <w:r w:rsidRPr="00E52679">
        <w:t xml:space="preserve"> oznaczonym kodem POG</w:t>
      </w:r>
      <w:r>
        <w:t>,</w:t>
      </w:r>
      <w:r w:rsidRPr="00E52679">
        <w:t xml:space="preserve"> określa się w obowiązującym państwowym systemie odniesień przestrzennych, stosując układ PL-2000</w:t>
      </w:r>
      <w:r>
        <w:t>.</w:t>
      </w:r>
      <w:r w:rsidRPr="00E52679">
        <w:t>”</w:t>
      </w:r>
      <w:r w:rsidRPr="002F7CED">
        <w:t>,</w:t>
      </w:r>
    </w:p>
    <w:p w14:paraId="2BF08DCB" w14:textId="42A6581D" w:rsidR="002F7CED" w:rsidRPr="002F7CED" w:rsidRDefault="00E52679" w:rsidP="002F7CED">
      <w:pPr>
        <w:pStyle w:val="LITlitera"/>
      </w:pPr>
      <w:r>
        <w:t>d</w:t>
      </w:r>
      <w:r w:rsidR="002F7CED">
        <w:t>)</w:t>
      </w:r>
      <w:r w:rsidR="004C2E6E">
        <w:tab/>
      </w:r>
      <w:r w:rsidR="002F7CED" w:rsidRPr="002F7CED">
        <w:t>ust. 5 otrzymuje brzmienie:</w:t>
      </w:r>
    </w:p>
    <w:p w14:paraId="467C6E8D" w14:textId="153460E4" w:rsidR="002F7CED" w:rsidRPr="002F7CED" w:rsidRDefault="00A00103" w:rsidP="003D7779">
      <w:pPr>
        <w:pStyle w:val="ZLITUSTzmustliter"/>
      </w:pPr>
      <w:r>
        <w:t>„</w:t>
      </w:r>
      <w:r w:rsidR="002F7CED" w:rsidRPr="002F7CED">
        <w:t xml:space="preserve">5. Dane przestrzenne gromadzone w zbiorach danych przestrzennych oznaczonych kodami </w:t>
      </w:r>
      <w:r w:rsidR="008754A6" w:rsidRPr="002F7CED">
        <w:t>PZPW</w:t>
      </w:r>
      <w:r w:rsidR="00FB2C40">
        <w:t xml:space="preserve"> lub</w:t>
      </w:r>
      <w:r w:rsidR="008754A6" w:rsidRPr="002F7CED">
        <w:t xml:space="preserve"> </w:t>
      </w:r>
      <w:r w:rsidR="002F7CED" w:rsidRPr="002F7CED">
        <w:t>MPZP tworzy się w rozdzielczości przestrzennej odpowiadającej skali sporządzania danego aktu</w:t>
      </w:r>
      <w:r w:rsidR="00DF273D">
        <w:t>, natomiast d</w:t>
      </w:r>
      <w:r w:rsidR="00DF273D" w:rsidRPr="002F7CED">
        <w:t>ane przestrzenne gromadzone w zbior</w:t>
      </w:r>
      <w:r w:rsidR="00DF273D">
        <w:t>ze</w:t>
      </w:r>
      <w:r w:rsidR="00DF273D" w:rsidRPr="002F7CED">
        <w:t xml:space="preserve"> danych przestrzennych oznaczony</w:t>
      </w:r>
      <w:r w:rsidR="00DF273D">
        <w:t>m</w:t>
      </w:r>
      <w:r w:rsidR="00DF273D" w:rsidRPr="002F7CED">
        <w:t xml:space="preserve"> kod</w:t>
      </w:r>
      <w:r w:rsidR="00DF273D">
        <w:t>em</w:t>
      </w:r>
      <w:r w:rsidR="00DF273D" w:rsidRPr="002F7CED">
        <w:t xml:space="preserve"> </w:t>
      </w:r>
      <w:r w:rsidR="00DF273D">
        <w:t>POG</w:t>
      </w:r>
      <w:r w:rsidR="00DF273D" w:rsidRPr="002F7CED">
        <w:t xml:space="preserve"> tworzy się w rozdzielczości przestrzennej odpowiadającej </w:t>
      </w:r>
      <w:r w:rsidR="00DF273D">
        <w:t xml:space="preserve">rozdzielczości przestrzennej </w:t>
      </w:r>
      <w:r w:rsidR="00DF273D" w:rsidRPr="00DF273D">
        <w:t xml:space="preserve">granic działek ewidencyjnych pochodzących z bazy danych, o której mowa w art. 4 ust. 1a pkt 2 ustawy z dnia 17 maja 1989 r. </w:t>
      </w:r>
      <w:r w:rsidR="0050176E">
        <w:t>–</w:t>
      </w:r>
      <w:r w:rsidR="0050176E" w:rsidRPr="00DF273D">
        <w:t xml:space="preserve"> </w:t>
      </w:r>
      <w:r w:rsidR="00DF273D" w:rsidRPr="00DF273D">
        <w:t>Prawo geodezyjne i kartograficzne</w:t>
      </w:r>
      <w:r w:rsidR="002F7CED" w:rsidRPr="002F7CED">
        <w:t>.</w:t>
      </w:r>
      <w:r w:rsidR="00585890">
        <w:t>”</w:t>
      </w:r>
      <w:r w:rsidR="002F7CED" w:rsidRPr="002F7CED">
        <w:t>,</w:t>
      </w:r>
    </w:p>
    <w:p w14:paraId="48162A0C" w14:textId="028F35FE" w:rsidR="002F7CED" w:rsidRDefault="00E52679" w:rsidP="00586AAC">
      <w:pPr>
        <w:pStyle w:val="LITlitera"/>
      </w:pPr>
      <w:r>
        <w:t>e</w:t>
      </w:r>
      <w:r w:rsidR="002F7CED" w:rsidRPr="002F7CED">
        <w:t>)</w:t>
      </w:r>
      <w:r w:rsidR="004C2E6E">
        <w:tab/>
      </w:r>
      <w:r w:rsidR="008754A6" w:rsidRPr="002F7CED">
        <w:t xml:space="preserve">uchyla się ust. </w:t>
      </w:r>
      <w:r w:rsidR="002F7CED" w:rsidRPr="002F7CED">
        <w:t>6</w:t>
      </w:r>
      <w:r w:rsidR="008754A6">
        <w:t>;</w:t>
      </w:r>
    </w:p>
    <w:p w14:paraId="6BDC1700" w14:textId="54176590" w:rsidR="003D7779" w:rsidRDefault="00E52679" w:rsidP="003D7779">
      <w:pPr>
        <w:pStyle w:val="LITlitera"/>
      </w:pPr>
      <w:r>
        <w:t>f</w:t>
      </w:r>
      <w:r w:rsidR="002F7CED" w:rsidRPr="002F7CED">
        <w:t>)</w:t>
      </w:r>
      <w:r w:rsidR="004C2E6E">
        <w:tab/>
      </w:r>
      <w:r w:rsidR="002F7CED" w:rsidRPr="002F7CED">
        <w:t xml:space="preserve">w ust. 7 </w:t>
      </w:r>
      <w:r w:rsidR="00C02C49">
        <w:t>w</w:t>
      </w:r>
      <w:r w:rsidR="002F7CED" w:rsidRPr="002F7CED">
        <w:t xml:space="preserve"> pkt 2 wyrazy </w:t>
      </w:r>
      <w:r w:rsidR="00A00103">
        <w:t>„</w:t>
      </w:r>
      <w:bookmarkStart w:id="2" w:name="_Hlk140762022"/>
      <w:r w:rsidR="002F7CED" w:rsidRPr="002F7CED">
        <w:t>dane przestrzenne dla kolejnego aktu planowania przestrzennego</w:t>
      </w:r>
      <w:bookmarkEnd w:id="2"/>
      <w:r w:rsidR="00A00103">
        <w:t>”</w:t>
      </w:r>
      <w:r w:rsidR="002F7CED" w:rsidRPr="002F7CED">
        <w:t xml:space="preserve"> zastępuje się wyrazami </w:t>
      </w:r>
      <w:r w:rsidR="00A00103">
        <w:t>„</w:t>
      </w:r>
      <w:bookmarkStart w:id="3" w:name="_Hlk140762035"/>
      <w:r w:rsidR="00707658">
        <w:t xml:space="preserve">dane </w:t>
      </w:r>
      <w:r w:rsidR="00702DF0">
        <w:t>dla</w:t>
      </w:r>
      <w:r w:rsidR="00707658">
        <w:t xml:space="preserve"> </w:t>
      </w:r>
      <w:r w:rsidR="002F7CED" w:rsidRPr="002F7CED">
        <w:t>now</w:t>
      </w:r>
      <w:r w:rsidR="00707658">
        <w:t>ych</w:t>
      </w:r>
      <w:r w:rsidR="002F7CED" w:rsidRPr="002F7CED">
        <w:t xml:space="preserve"> obiekt</w:t>
      </w:r>
      <w:r w:rsidR="00707658">
        <w:t>ów</w:t>
      </w:r>
      <w:r w:rsidR="002F7CED" w:rsidRPr="002F7CED">
        <w:t xml:space="preserve"> przestrzenn</w:t>
      </w:r>
      <w:r w:rsidR="00707658">
        <w:t>ych</w:t>
      </w:r>
      <w:bookmarkEnd w:id="3"/>
      <w:r w:rsidR="00A00103">
        <w:t>”</w:t>
      </w:r>
      <w:r w:rsidR="002F7CED" w:rsidRPr="002F7CED">
        <w:t>;</w:t>
      </w:r>
    </w:p>
    <w:p w14:paraId="2E37B11B" w14:textId="0235FA9D" w:rsidR="002F7CED" w:rsidRPr="005146AF" w:rsidRDefault="002F7CED" w:rsidP="003D7779">
      <w:pPr>
        <w:pStyle w:val="PKTpunkt"/>
      </w:pPr>
      <w:r>
        <w:t>3</w:t>
      </w:r>
      <w:r w:rsidRPr="002F7CED">
        <w:t>)</w:t>
      </w:r>
      <w:r w:rsidRPr="002F7CED">
        <w:tab/>
        <w:t xml:space="preserve">w </w:t>
      </w:r>
      <w:r w:rsidRPr="005146AF">
        <w:t xml:space="preserve">§ </w:t>
      </w:r>
      <w:r>
        <w:t>5</w:t>
      </w:r>
      <w:r w:rsidRPr="005146AF">
        <w:t>:</w:t>
      </w:r>
    </w:p>
    <w:p w14:paraId="260B5FE5" w14:textId="2EC7FABA" w:rsidR="002F7CED" w:rsidRDefault="002F7CED" w:rsidP="002F7CED">
      <w:pPr>
        <w:pStyle w:val="LITlitera"/>
      </w:pPr>
      <w:r w:rsidRPr="005146AF">
        <w:t>a)</w:t>
      </w:r>
      <w:r w:rsidR="004C2E6E">
        <w:tab/>
      </w:r>
      <w:r w:rsidRPr="002F7CED">
        <w:t>po</w:t>
      </w:r>
      <w:r w:rsidRPr="005146AF">
        <w:t xml:space="preserve"> </w:t>
      </w:r>
      <w:r w:rsidRPr="002F7CED">
        <w:t>ust. 1 dodaje się ust</w:t>
      </w:r>
      <w:r w:rsidR="004C2E6E">
        <w:t>.</w:t>
      </w:r>
      <w:r w:rsidRPr="002F7CED">
        <w:t xml:space="preserve"> 1a w brzmieniu</w:t>
      </w:r>
      <w:r w:rsidR="004C2E6E">
        <w:t>:</w:t>
      </w:r>
    </w:p>
    <w:p w14:paraId="1D6AA3D8" w14:textId="48EA8CE8" w:rsidR="002F7CED" w:rsidRPr="002F7CED" w:rsidRDefault="00A00103" w:rsidP="003460A8">
      <w:pPr>
        <w:pStyle w:val="ZLITUSTzmustliter"/>
      </w:pPr>
      <w:r>
        <w:t>„</w:t>
      </w:r>
      <w:r w:rsidR="002F7CED" w:rsidRPr="002F7CED">
        <w:t>1a. W zbiorze danych przestrzennych oznaczonym kodem POG identyfikator lokalny, o którym mowa w ust. 1 pkt 2, dla:</w:t>
      </w:r>
    </w:p>
    <w:p w14:paraId="1F1C4C2B" w14:textId="6FDC55BA" w:rsidR="002F7CED" w:rsidRPr="002F7CED" w:rsidRDefault="002F7CED" w:rsidP="003460A8">
      <w:pPr>
        <w:pStyle w:val="ZLITPKTzmpktliter"/>
      </w:pPr>
      <w:r>
        <w:t>1</w:t>
      </w:r>
      <w:r w:rsidRPr="002F7CED">
        <w:t>)</w:t>
      </w:r>
      <w:r w:rsidR="004C2E6E">
        <w:tab/>
      </w:r>
      <w:r w:rsidRPr="002F7CED">
        <w:t>obiektu przestrzennego reprezentującego obszar objęty planem ogólnym gminy zapisuje się w postaci (&lt;</w:t>
      </w:r>
      <w:r w:rsidR="00C02140">
        <w:t>oznaczenie</w:t>
      </w:r>
      <w:r w:rsidR="00C02140" w:rsidRPr="002F7CED">
        <w:t>POG</w:t>
      </w:r>
      <w:r w:rsidRPr="002F7CED">
        <w:t xml:space="preserve">&gt;) </w:t>
      </w:r>
      <w:r w:rsidR="00B30EC9" w:rsidRPr="002F7CED">
        <w:t>zawierając</w:t>
      </w:r>
      <w:r w:rsidR="00B30EC9">
        <w:t>ej</w:t>
      </w:r>
      <w:r w:rsidR="00B30EC9" w:rsidRPr="002F7CED">
        <w:t xml:space="preserve"> </w:t>
      </w:r>
      <w:r w:rsidRPr="002F7CED">
        <w:t xml:space="preserve">oznaczenie obszaru objętego planem ogólnym gminy </w:t>
      </w:r>
      <w:r w:rsidR="00EF5851">
        <w:t>składającej się z liczby naturalnej i symbolu literowego</w:t>
      </w:r>
      <w:r w:rsidR="0089667C">
        <w:t xml:space="preserve"> obiektu przestrzennego</w:t>
      </w:r>
      <w:r w:rsidR="00432F14">
        <w:t>;</w:t>
      </w:r>
    </w:p>
    <w:p w14:paraId="1BA2D807" w14:textId="18EC867C" w:rsidR="002F7CED" w:rsidRPr="002F7CED" w:rsidRDefault="002F7CED" w:rsidP="003460A8">
      <w:pPr>
        <w:pStyle w:val="ZLITPKTzmpktliter"/>
      </w:pPr>
      <w:r>
        <w:t>2</w:t>
      </w:r>
      <w:r w:rsidRPr="002F7CED">
        <w:t>)</w:t>
      </w:r>
      <w:r w:rsidR="004C2E6E">
        <w:tab/>
      </w:r>
      <w:r w:rsidRPr="002F7CED">
        <w:t>pozostałych obiektów przestrzennych zapisuje się w postaci (&lt;</w:t>
      </w:r>
      <w:r w:rsidR="00C02140">
        <w:t>oznaczenie</w:t>
      </w:r>
      <w:r w:rsidR="00C02140" w:rsidRPr="002F7CED">
        <w:t>POG</w:t>
      </w:r>
      <w:r w:rsidRPr="002F7CED">
        <w:t>&gt;.&lt;oznaczenieObiektuPrzestrzennego&gt;), składającej się z:</w:t>
      </w:r>
    </w:p>
    <w:p w14:paraId="5146462E" w14:textId="57780F8E" w:rsidR="002F7CED" w:rsidRPr="002F7CED" w:rsidRDefault="002F7CED" w:rsidP="003460A8">
      <w:pPr>
        <w:pStyle w:val="ZLITLITzmlitliter"/>
      </w:pPr>
      <w:r>
        <w:t>a)</w:t>
      </w:r>
      <w:r w:rsidRPr="002F7CED">
        <w:tab/>
        <w:t>&lt;</w:t>
      </w:r>
      <w:r w:rsidR="00C02140">
        <w:t>oznaczenie</w:t>
      </w:r>
      <w:r w:rsidR="00C02140" w:rsidRPr="002F7CED">
        <w:t>POG</w:t>
      </w:r>
      <w:r w:rsidRPr="002F7CED">
        <w:t>&gt;, o którym mowa w pkt 1,</w:t>
      </w:r>
    </w:p>
    <w:p w14:paraId="3BD5BBE4" w14:textId="0AFBF18A" w:rsidR="003D7779" w:rsidRDefault="002F7CED" w:rsidP="003D7779">
      <w:pPr>
        <w:pStyle w:val="ZLITLITzmlitliter"/>
      </w:pPr>
      <w:r>
        <w:t>b</w:t>
      </w:r>
      <w:r w:rsidRPr="002F7CED">
        <w:t>)</w:t>
      </w:r>
      <w:r w:rsidRPr="002F7CED">
        <w:tab/>
        <w:t xml:space="preserve">&lt;oznaczenieObiektuPrzestrzennego&gt; – </w:t>
      </w:r>
      <w:r w:rsidR="00B30EC9" w:rsidRPr="002F7CED">
        <w:t>zawierając</w:t>
      </w:r>
      <w:r w:rsidR="006133A9">
        <w:t>ego</w:t>
      </w:r>
      <w:r w:rsidR="00B30EC9">
        <w:t xml:space="preserve"> </w:t>
      </w:r>
      <w:r w:rsidRPr="002F7CED">
        <w:t xml:space="preserve">oznaczenie </w:t>
      </w:r>
      <w:r w:rsidR="00651D06">
        <w:t xml:space="preserve">obiektów przestrzennych dotyczących </w:t>
      </w:r>
      <w:r w:rsidRPr="002F7CED">
        <w:t xml:space="preserve">strefy planistycznej, obszaru uzupełnienia zabudowy, obszaru zabudowy śródmiejskiej </w:t>
      </w:r>
      <w:r w:rsidR="00C02140">
        <w:t>albo</w:t>
      </w:r>
      <w:r w:rsidR="00C02140" w:rsidRPr="002F7CED">
        <w:t xml:space="preserve"> </w:t>
      </w:r>
      <w:r w:rsidRPr="002F7CED">
        <w:t xml:space="preserve">obszaru standardu dostępności infrastruktury społecznej, </w:t>
      </w:r>
      <w:r w:rsidR="00EF5851">
        <w:t>składające</w:t>
      </w:r>
      <w:r w:rsidR="002B3C36">
        <w:t>j</w:t>
      </w:r>
      <w:r w:rsidR="00EF5851">
        <w:t xml:space="preserve"> się z liczby naturalnej i symbolu literowego</w:t>
      </w:r>
      <w:r w:rsidR="0089667C">
        <w:t xml:space="preserve"> obiektu przestrzennego</w:t>
      </w:r>
      <w:r w:rsidRPr="002F7CED">
        <w:t>.</w:t>
      </w:r>
      <w:r w:rsidR="00A00103">
        <w:t>”</w:t>
      </w:r>
      <w:r w:rsidRPr="002F7CED">
        <w:t>,</w:t>
      </w:r>
    </w:p>
    <w:p w14:paraId="4C096722" w14:textId="2A0924CE" w:rsidR="002F7CED" w:rsidRPr="0075791F" w:rsidRDefault="002F7CED" w:rsidP="003D7779">
      <w:pPr>
        <w:pStyle w:val="LITlitera"/>
      </w:pPr>
      <w:r w:rsidRPr="0075791F">
        <w:t>b)</w:t>
      </w:r>
      <w:r w:rsidR="00A00103" w:rsidRPr="0075791F">
        <w:tab/>
      </w:r>
      <w:r w:rsidRPr="0075791F">
        <w:t xml:space="preserve">ust. </w:t>
      </w:r>
      <w:r w:rsidR="0000354C" w:rsidRPr="0075791F">
        <w:t>2</w:t>
      </w:r>
      <w:r w:rsidRPr="0075791F">
        <w:t xml:space="preserve"> otrzymuje brzmienie:</w:t>
      </w:r>
    </w:p>
    <w:p w14:paraId="1FC67206" w14:textId="2C3E0C42" w:rsidR="002F7CED" w:rsidRPr="002F7CED" w:rsidRDefault="00A00103" w:rsidP="00A00103">
      <w:pPr>
        <w:pStyle w:val="ZLITUSTzmustliter"/>
      </w:pPr>
      <w:r>
        <w:lastRenderedPageBreak/>
        <w:t>„</w:t>
      </w:r>
      <w:r w:rsidR="002F7CED" w:rsidRPr="002F7CED">
        <w:t>2.</w:t>
      </w:r>
      <w:r>
        <w:t> </w:t>
      </w:r>
      <w:r w:rsidR="002F7CED" w:rsidRPr="002F7CED">
        <w:t xml:space="preserve">Elementy, o których mowa w ust. 1 pkt 1 i </w:t>
      </w:r>
      <w:r w:rsidR="00B30EC9">
        <w:t xml:space="preserve">2 oraz w </w:t>
      </w:r>
      <w:r w:rsidR="002F7CED" w:rsidRPr="002F7CED">
        <w:t>ust. 1a, nie mogą zostać zmienione.</w:t>
      </w:r>
      <w:r>
        <w:t>”</w:t>
      </w:r>
      <w:r w:rsidR="003460A8">
        <w:t>;</w:t>
      </w:r>
    </w:p>
    <w:p w14:paraId="1B110E86" w14:textId="1C7BF118" w:rsidR="002F7CED" w:rsidRDefault="002F7CED" w:rsidP="00A00103">
      <w:pPr>
        <w:pStyle w:val="PKTpunkt"/>
      </w:pPr>
      <w:r>
        <w:t>4</w:t>
      </w:r>
      <w:r w:rsidRPr="005146AF">
        <w:t>)</w:t>
      </w:r>
      <w:r w:rsidR="00A00103">
        <w:tab/>
      </w:r>
      <w:r w:rsidRPr="002F7CED">
        <w:t xml:space="preserve">załącznik nr </w:t>
      </w:r>
      <w:r w:rsidR="002B6211">
        <w:t>1</w:t>
      </w:r>
      <w:r w:rsidRPr="002F7CED">
        <w:t xml:space="preserve"> do rozporządzenia otrzymuje brzmienie określone w załączniku</w:t>
      </w:r>
      <w:r w:rsidR="00213B43">
        <w:t xml:space="preserve"> nr 1</w:t>
      </w:r>
      <w:r w:rsidRPr="002F7CED">
        <w:t xml:space="preserve"> do niniejszego rozporządzenia</w:t>
      </w:r>
      <w:r w:rsidR="003460A8">
        <w:t>;</w:t>
      </w:r>
    </w:p>
    <w:p w14:paraId="33159C26" w14:textId="79F9E20A" w:rsidR="00213B43" w:rsidRPr="002F7CED" w:rsidRDefault="00213B43" w:rsidP="00A00103">
      <w:pPr>
        <w:pStyle w:val="PKTpunkt"/>
      </w:pPr>
      <w:r>
        <w:t>5</w:t>
      </w:r>
      <w:r w:rsidRPr="00213B43">
        <w:t>)</w:t>
      </w:r>
      <w:r w:rsidRPr="00213B43">
        <w:tab/>
        <w:t xml:space="preserve">załącznik nr </w:t>
      </w:r>
      <w:r>
        <w:t>2</w:t>
      </w:r>
      <w:r w:rsidRPr="00213B43">
        <w:t xml:space="preserve"> do rozporządzenia otrzymuje brzmienie określone w załączniku</w:t>
      </w:r>
      <w:r>
        <w:t xml:space="preserve"> </w:t>
      </w:r>
      <w:r w:rsidRPr="00213B43">
        <w:t xml:space="preserve">nr </w:t>
      </w:r>
      <w:r>
        <w:t>2</w:t>
      </w:r>
      <w:r w:rsidRPr="00213B43">
        <w:t xml:space="preserve"> do niniejszego rozporządzenia.</w:t>
      </w:r>
    </w:p>
    <w:p w14:paraId="7866E2F3" w14:textId="32405FBC" w:rsidR="002F7CED" w:rsidRDefault="002F7CED" w:rsidP="002F7CED">
      <w:pPr>
        <w:pStyle w:val="ARTartustawynprozporzdzenia"/>
      </w:pPr>
      <w:r w:rsidRPr="00A00103">
        <w:rPr>
          <w:rStyle w:val="Ppogrubienie"/>
        </w:rPr>
        <w:t>§ 2.</w:t>
      </w:r>
      <w:r w:rsidRPr="0096263B">
        <w:t xml:space="preserve"> </w:t>
      </w:r>
      <w:r w:rsidR="00AA589D">
        <w:t xml:space="preserve">1. </w:t>
      </w:r>
      <w:r w:rsidR="0000354C" w:rsidRPr="0000354C">
        <w:t xml:space="preserve">Do obowiązujących w dniu wejścia w życie niniejszego rozporządzenia </w:t>
      </w:r>
      <w:bookmarkStart w:id="4" w:name="_Hlk140763202"/>
      <w:r w:rsidR="0000354C" w:rsidRPr="0000354C">
        <w:t xml:space="preserve">aktów planowania przestrzennego </w:t>
      </w:r>
      <w:bookmarkEnd w:id="4"/>
      <w:r w:rsidR="0000354C" w:rsidRPr="0000354C">
        <w:t>stosuje się przepisy dotychczasowe.</w:t>
      </w:r>
    </w:p>
    <w:p w14:paraId="4B866D2E" w14:textId="47B53893" w:rsidR="00637713" w:rsidRDefault="00637713" w:rsidP="00586AAC">
      <w:pPr>
        <w:pStyle w:val="USTustnpkodeksu"/>
      </w:pPr>
      <w:r>
        <w:t xml:space="preserve">2. </w:t>
      </w:r>
      <w:r w:rsidRPr="00637713">
        <w:t xml:space="preserve">W przypadku </w:t>
      </w:r>
      <w:r w:rsidR="00E068EF">
        <w:t xml:space="preserve">zbiorów danych przestrzennych tworzonych dla </w:t>
      </w:r>
      <w:r w:rsidRPr="00637713">
        <w:t xml:space="preserve">studium uwarunkowań i kierunków zagospodarowania przestrzennego, </w:t>
      </w:r>
      <w:r w:rsidR="009C7B0F" w:rsidRPr="00637713">
        <w:t>o</w:t>
      </w:r>
      <w:r w:rsidR="009C7B0F">
        <w:t> </w:t>
      </w:r>
      <w:r w:rsidRPr="00637713">
        <w:t>którym mowa w art. 65 ustawy z</w:t>
      </w:r>
      <w:r w:rsidR="008E2048" w:rsidRPr="008E2048">
        <w:t xml:space="preserve"> dnia 7 lipca 2023 r. o zmianie ustawy o planowaniu i</w:t>
      </w:r>
      <w:r w:rsidR="004C2E6E">
        <w:t> </w:t>
      </w:r>
      <w:r w:rsidR="008E2048" w:rsidRPr="008E2048">
        <w:t>zagospodarowaniu przestrzennym oraz niektórych innych ustaw (Dz.</w:t>
      </w:r>
      <w:r w:rsidR="004C2E6E">
        <w:t xml:space="preserve"> </w:t>
      </w:r>
      <w:r w:rsidR="008E2048" w:rsidRPr="008E2048">
        <w:t>U</w:t>
      </w:r>
      <w:r w:rsidR="008E2048" w:rsidRPr="00586AAC">
        <w:t xml:space="preserve">. </w:t>
      </w:r>
      <w:r w:rsidR="00432F14">
        <w:t>poz. 1688</w:t>
      </w:r>
      <w:r w:rsidR="008E2048" w:rsidRPr="00586AAC">
        <w:t>)</w:t>
      </w:r>
      <w:r w:rsidR="007B4929">
        <w:t>,</w:t>
      </w:r>
      <w:r w:rsidRPr="00586AAC">
        <w:t xml:space="preserve"> stosuje </w:t>
      </w:r>
      <w:r w:rsidRPr="00637713">
        <w:t>się przepisy dotychczasowe</w:t>
      </w:r>
      <w:r w:rsidR="00E068EF">
        <w:t>, jednak nie dłużej niż do 31 grudnia 2025 r</w:t>
      </w:r>
      <w:r w:rsidRPr="00637713">
        <w:t>.</w:t>
      </w:r>
    </w:p>
    <w:p w14:paraId="1D154879" w14:textId="70BBE696" w:rsidR="00637713" w:rsidRDefault="00637713" w:rsidP="00586AAC">
      <w:pPr>
        <w:pStyle w:val="USTustnpkodeksu"/>
      </w:pPr>
      <w:r>
        <w:t xml:space="preserve">3. </w:t>
      </w:r>
      <w:r w:rsidRPr="00637713">
        <w:t>W przypadku projektów aktów planowania przestrzennego albo ich zmian, dla których przed dniem wejścia w życie rozporządzenia wystąpiono o opinie i uzgodnienia, stosuje się przepisy dotychczasowe.</w:t>
      </w:r>
    </w:p>
    <w:p w14:paraId="1E1D6DEE" w14:textId="1CF5C132" w:rsidR="002F7CED" w:rsidRPr="00737F6A" w:rsidRDefault="0000354C" w:rsidP="0000354C">
      <w:pPr>
        <w:pStyle w:val="ARTartustawynprozporzdzenia"/>
      </w:pPr>
      <w:r w:rsidRPr="00A00103">
        <w:rPr>
          <w:rStyle w:val="Ppogrubienie"/>
        </w:rPr>
        <w:t>§ 3.</w:t>
      </w:r>
      <w:r w:rsidRPr="0000354C">
        <w:t xml:space="preserve"> Rozporządzenie wchodzi w życie </w:t>
      </w:r>
      <w:r w:rsidR="002B3A04">
        <w:t xml:space="preserve">po upływie </w:t>
      </w:r>
      <w:r w:rsidR="009B4DD6">
        <w:t>14 dni</w:t>
      </w:r>
      <w:r w:rsidR="002B3A04">
        <w:t xml:space="preserve"> od dnia ogłoszenia. </w:t>
      </w:r>
    </w:p>
    <w:p w14:paraId="6A0EFB6E" w14:textId="77777777" w:rsidR="002F7CED" w:rsidRDefault="002F7CED" w:rsidP="002F7CED"/>
    <w:p w14:paraId="560D0366" w14:textId="77777777" w:rsidR="00261A16" w:rsidRDefault="004C2E6E" w:rsidP="00827BAF">
      <w:pPr>
        <w:pStyle w:val="NAZORGWYDnazwaorganuwydajcegoprojektowanyakt"/>
      </w:pPr>
      <w:r>
        <w:t>Minister Rozwoju</w:t>
      </w:r>
    </w:p>
    <w:p w14:paraId="3BC0CFD1" w14:textId="77777777" w:rsidR="00261A16" w:rsidRDefault="004C2E6E" w:rsidP="00827BAF">
      <w:pPr>
        <w:pStyle w:val="NAZORGWYDnazwaorganuwydajcegoprojektowanyakt"/>
      </w:pPr>
      <w:r>
        <w:t>i Technologii</w:t>
      </w:r>
    </w:p>
    <w:p w14:paraId="12DED080" w14:textId="77777777" w:rsidR="007B4929" w:rsidRDefault="007B4929" w:rsidP="00827BAF">
      <w:pPr>
        <w:pStyle w:val="NAZORGWYDnazwaorganuwydajcegoprojektowanyakt"/>
      </w:pPr>
    </w:p>
    <w:p w14:paraId="3666A54F" w14:textId="77777777" w:rsidR="007B4929" w:rsidRDefault="007B4929" w:rsidP="00827BAF">
      <w:pPr>
        <w:pStyle w:val="NAZORGWYDnazwaorganuwydajcegoprojektowanyakt"/>
      </w:pPr>
    </w:p>
    <w:p w14:paraId="61B9EF1F" w14:textId="77777777" w:rsidR="007B4929" w:rsidRDefault="007B4929" w:rsidP="00827BAF">
      <w:pPr>
        <w:pStyle w:val="NAZORGWYDnazwaorganuwydajcegoprojektowanyakt"/>
      </w:pPr>
    </w:p>
    <w:p w14:paraId="216FBF12" w14:textId="77777777" w:rsidR="007B4929" w:rsidRPr="006F58F0" w:rsidRDefault="007B4929" w:rsidP="007B4929">
      <w:pPr>
        <w:pStyle w:val="OZNPARAFYADNOTACJE"/>
      </w:pPr>
      <w:r w:rsidRPr="006F58F0">
        <w:t>ZA ZGODNOŚĆ POD WZGLĘDEM PRAWNYM,</w:t>
      </w:r>
    </w:p>
    <w:p w14:paraId="5701E137" w14:textId="77777777" w:rsidR="007B4929" w:rsidRPr="006F58F0" w:rsidRDefault="007B4929" w:rsidP="007B4929">
      <w:pPr>
        <w:pStyle w:val="OZNPARAFYADNOTACJE"/>
      </w:pPr>
      <w:r w:rsidRPr="006F58F0">
        <w:t>LEGISLACYJNYM I REDAKCYJNYM</w:t>
      </w:r>
    </w:p>
    <w:p w14:paraId="7E29E659" w14:textId="77777777" w:rsidR="007B4929" w:rsidRPr="006F58F0" w:rsidRDefault="007B4929" w:rsidP="007B4929">
      <w:pPr>
        <w:pStyle w:val="OZNPARAFYADNOTACJE"/>
      </w:pPr>
      <w:r>
        <w:t>Aneta Mijal</w:t>
      </w:r>
    </w:p>
    <w:p w14:paraId="2876EFB3" w14:textId="77777777" w:rsidR="007B4929" w:rsidRPr="006F58F0" w:rsidRDefault="007B4929" w:rsidP="007B4929">
      <w:pPr>
        <w:pStyle w:val="OZNPARAFYADNOTACJE"/>
      </w:pPr>
      <w:r w:rsidRPr="006F58F0">
        <w:t>Dyrektor Departamentu Prawnego</w:t>
      </w:r>
    </w:p>
    <w:p w14:paraId="75D67A2B" w14:textId="77777777" w:rsidR="007B4929" w:rsidRPr="006F58F0" w:rsidRDefault="007B4929" w:rsidP="007B4929">
      <w:pPr>
        <w:pStyle w:val="OZNPARAFYADNOTACJE"/>
      </w:pPr>
      <w:r w:rsidRPr="006F58F0">
        <w:t>w Ministerstwie Rozwoju i Technologii</w:t>
      </w:r>
    </w:p>
    <w:p w14:paraId="36B09716" w14:textId="6023EA4F" w:rsidR="0075791F" w:rsidRPr="002F7CED" w:rsidRDefault="007B4929" w:rsidP="003D7779">
      <w:pPr>
        <w:pStyle w:val="OZNPARAFYADNOTACJE"/>
      </w:pPr>
      <w:r w:rsidRPr="006F58F0">
        <w:t>/podpisano elektronicznie/</w:t>
      </w:r>
    </w:p>
    <w:sectPr w:rsidR="0075791F" w:rsidRPr="002F7CED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92597" w14:textId="77777777" w:rsidR="005C6923" w:rsidRDefault="005C6923">
      <w:r>
        <w:separator/>
      </w:r>
    </w:p>
  </w:endnote>
  <w:endnote w:type="continuationSeparator" w:id="0">
    <w:p w14:paraId="76CC5FEB" w14:textId="77777777" w:rsidR="005C6923" w:rsidRDefault="005C6923">
      <w:r>
        <w:continuationSeparator/>
      </w:r>
    </w:p>
  </w:endnote>
  <w:endnote w:type="continuationNotice" w:id="1">
    <w:p w14:paraId="2E33A219" w14:textId="77777777" w:rsidR="005C6923" w:rsidRDefault="005C692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7570E" w14:textId="77777777" w:rsidR="005C6923" w:rsidRDefault="005C6923">
      <w:r>
        <w:separator/>
      </w:r>
    </w:p>
  </w:footnote>
  <w:footnote w:type="continuationSeparator" w:id="0">
    <w:p w14:paraId="317AD74E" w14:textId="77777777" w:rsidR="005C6923" w:rsidRDefault="005C6923">
      <w:r>
        <w:continuationSeparator/>
      </w:r>
    </w:p>
  </w:footnote>
  <w:footnote w:type="continuationNotice" w:id="1">
    <w:p w14:paraId="0B1A7BDA" w14:textId="77777777" w:rsidR="005C6923" w:rsidRDefault="005C6923">
      <w:pPr>
        <w:spacing w:line="240" w:lineRule="auto"/>
      </w:pPr>
    </w:p>
  </w:footnote>
  <w:footnote w:id="2">
    <w:p w14:paraId="5BD09F19" w14:textId="77777777" w:rsidR="002F7CED" w:rsidRPr="00BE2E34" w:rsidRDefault="002F7CED" w:rsidP="002F7CED">
      <w:pPr>
        <w:pStyle w:val="ODNONIKtreodnonika"/>
      </w:pPr>
      <w:r w:rsidRPr="00BE2E34">
        <w:rPr>
          <w:rStyle w:val="IGindeksgrny"/>
        </w:rPr>
        <w:footnoteRef/>
      </w:r>
      <w:r w:rsidRPr="00BE2E34">
        <w:rPr>
          <w:rStyle w:val="IGindeksgrny"/>
        </w:rPr>
        <w:t>)</w:t>
      </w:r>
      <w:r>
        <w:rPr>
          <w:rStyle w:val="IGindeksgrny"/>
        </w:rPr>
        <w:tab/>
      </w:r>
      <w:r>
        <w:t xml:space="preserve">Minister Rozwoju i Technologii kieruje działem administracji rządowej – budownictwo, planowanie </w:t>
      </w:r>
      <w:r>
        <w:br/>
        <w:t>i zagospodarowanie przestrzenne oraz mieszkalnictwo, na podstawie § 1 ust. 2 pkt 1 rozporządzenia Prezesa Rady Ministrów z dnia 15 kwietnia 2022 r. w sprawie szczegółowego zakresu działania Ministra Rozwoju i Technologii (Dz. U. poz. 838).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19CE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B6010FF"/>
    <w:multiLevelType w:val="hybridMultilevel"/>
    <w:tmpl w:val="F1D2969C"/>
    <w:lvl w:ilvl="0" w:tplc="CC88FBE4">
      <w:start w:val="1"/>
      <w:numFmt w:val="lowerLetter"/>
      <w:lvlText w:val="%1)"/>
      <w:lvlJc w:val="left"/>
      <w:pPr>
        <w:ind w:left="99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B125849"/>
    <w:multiLevelType w:val="hybridMultilevel"/>
    <w:tmpl w:val="EEFA7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24463756">
    <w:abstractNumId w:val="24"/>
  </w:num>
  <w:num w:numId="2" w16cid:durableId="1690910160">
    <w:abstractNumId w:val="24"/>
  </w:num>
  <w:num w:numId="3" w16cid:durableId="399015808">
    <w:abstractNumId w:val="19"/>
  </w:num>
  <w:num w:numId="4" w16cid:durableId="466896460">
    <w:abstractNumId w:val="19"/>
  </w:num>
  <w:num w:numId="5" w16cid:durableId="1838303614">
    <w:abstractNumId w:val="37"/>
  </w:num>
  <w:num w:numId="6" w16cid:durableId="307243934">
    <w:abstractNumId w:val="32"/>
  </w:num>
  <w:num w:numId="7" w16cid:durableId="1650592794">
    <w:abstractNumId w:val="37"/>
  </w:num>
  <w:num w:numId="8" w16cid:durableId="1688018931">
    <w:abstractNumId w:val="32"/>
  </w:num>
  <w:num w:numId="9" w16cid:durableId="1406760811">
    <w:abstractNumId w:val="37"/>
  </w:num>
  <w:num w:numId="10" w16cid:durableId="1628195034">
    <w:abstractNumId w:val="32"/>
  </w:num>
  <w:num w:numId="11" w16cid:durableId="1867477032">
    <w:abstractNumId w:val="15"/>
  </w:num>
  <w:num w:numId="12" w16cid:durableId="830296585">
    <w:abstractNumId w:val="10"/>
  </w:num>
  <w:num w:numId="13" w16cid:durableId="975066249">
    <w:abstractNumId w:val="16"/>
  </w:num>
  <w:num w:numId="14" w16cid:durableId="590234226">
    <w:abstractNumId w:val="27"/>
  </w:num>
  <w:num w:numId="15" w16cid:durableId="1377505598">
    <w:abstractNumId w:val="15"/>
  </w:num>
  <w:num w:numId="16" w16cid:durableId="633633633">
    <w:abstractNumId w:val="17"/>
  </w:num>
  <w:num w:numId="17" w16cid:durableId="1093892331">
    <w:abstractNumId w:val="8"/>
  </w:num>
  <w:num w:numId="18" w16cid:durableId="1707175784">
    <w:abstractNumId w:val="3"/>
  </w:num>
  <w:num w:numId="19" w16cid:durableId="1092970549">
    <w:abstractNumId w:val="2"/>
  </w:num>
  <w:num w:numId="20" w16cid:durableId="1391490858">
    <w:abstractNumId w:val="1"/>
  </w:num>
  <w:num w:numId="21" w16cid:durableId="1264415915">
    <w:abstractNumId w:val="0"/>
  </w:num>
  <w:num w:numId="22" w16cid:durableId="1522087410">
    <w:abstractNumId w:val="9"/>
  </w:num>
  <w:num w:numId="23" w16cid:durableId="1890409252">
    <w:abstractNumId w:val="7"/>
  </w:num>
  <w:num w:numId="24" w16cid:durableId="1071078635">
    <w:abstractNumId w:val="6"/>
  </w:num>
  <w:num w:numId="25" w16cid:durableId="211620577">
    <w:abstractNumId w:val="5"/>
  </w:num>
  <w:num w:numId="26" w16cid:durableId="133912130">
    <w:abstractNumId w:val="4"/>
  </w:num>
  <w:num w:numId="27" w16cid:durableId="1597904346">
    <w:abstractNumId w:val="35"/>
  </w:num>
  <w:num w:numId="28" w16cid:durableId="1530876968">
    <w:abstractNumId w:val="26"/>
  </w:num>
  <w:num w:numId="29" w16cid:durableId="228812132">
    <w:abstractNumId w:val="38"/>
  </w:num>
  <w:num w:numId="30" w16cid:durableId="328676639">
    <w:abstractNumId w:val="33"/>
  </w:num>
  <w:num w:numId="31" w16cid:durableId="1168714448">
    <w:abstractNumId w:val="20"/>
  </w:num>
  <w:num w:numId="32" w16cid:durableId="477846955">
    <w:abstractNumId w:val="11"/>
  </w:num>
  <w:num w:numId="33" w16cid:durableId="1845707037">
    <w:abstractNumId w:val="31"/>
  </w:num>
  <w:num w:numId="34" w16cid:durableId="595945681">
    <w:abstractNumId w:val="21"/>
  </w:num>
  <w:num w:numId="35" w16cid:durableId="986712854">
    <w:abstractNumId w:val="18"/>
  </w:num>
  <w:num w:numId="36" w16cid:durableId="1039936488">
    <w:abstractNumId w:val="23"/>
  </w:num>
  <w:num w:numId="37" w16cid:durableId="194925135">
    <w:abstractNumId w:val="28"/>
  </w:num>
  <w:num w:numId="38" w16cid:durableId="662584967">
    <w:abstractNumId w:val="25"/>
  </w:num>
  <w:num w:numId="39" w16cid:durableId="765148798">
    <w:abstractNumId w:val="14"/>
  </w:num>
  <w:num w:numId="40" w16cid:durableId="430248771">
    <w:abstractNumId w:val="30"/>
  </w:num>
  <w:num w:numId="41" w16cid:durableId="808135579">
    <w:abstractNumId w:val="29"/>
  </w:num>
  <w:num w:numId="42" w16cid:durableId="1857190840">
    <w:abstractNumId w:val="22"/>
  </w:num>
  <w:num w:numId="43" w16cid:durableId="1455490133">
    <w:abstractNumId w:val="36"/>
  </w:num>
  <w:num w:numId="44" w16cid:durableId="1845513610">
    <w:abstractNumId w:val="13"/>
  </w:num>
  <w:num w:numId="45" w16cid:durableId="468717561">
    <w:abstractNumId w:val="12"/>
  </w:num>
  <w:num w:numId="46" w16cid:durableId="698912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F5"/>
    <w:rsid w:val="000012DA"/>
    <w:rsid w:val="0000246E"/>
    <w:rsid w:val="0000354C"/>
    <w:rsid w:val="00003862"/>
    <w:rsid w:val="00012A35"/>
    <w:rsid w:val="00016099"/>
    <w:rsid w:val="00017DC2"/>
    <w:rsid w:val="00021522"/>
    <w:rsid w:val="00023471"/>
    <w:rsid w:val="00023F13"/>
    <w:rsid w:val="000302AC"/>
    <w:rsid w:val="00030634"/>
    <w:rsid w:val="000319C1"/>
    <w:rsid w:val="00031A8B"/>
    <w:rsid w:val="00031BCA"/>
    <w:rsid w:val="000330FA"/>
    <w:rsid w:val="0003362F"/>
    <w:rsid w:val="00034C64"/>
    <w:rsid w:val="00036B63"/>
    <w:rsid w:val="00037E1A"/>
    <w:rsid w:val="00043495"/>
    <w:rsid w:val="00046A75"/>
    <w:rsid w:val="00047312"/>
    <w:rsid w:val="000508BD"/>
    <w:rsid w:val="000517AB"/>
    <w:rsid w:val="0005339C"/>
    <w:rsid w:val="00053E9B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5183"/>
    <w:rsid w:val="000963CC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076B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363D"/>
    <w:rsid w:val="00124594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12DD"/>
    <w:rsid w:val="00172F7A"/>
    <w:rsid w:val="00173150"/>
    <w:rsid w:val="00173390"/>
    <w:rsid w:val="001736F0"/>
    <w:rsid w:val="00173BB3"/>
    <w:rsid w:val="001740D0"/>
    <w:rsid w:val="00174F2C"/>
    <w:rsid w:val="00180F2A"/>
    <w:rsid w:val="0018461C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04B7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4B90"/>
    <w:rsid w:val="001F6616"/>
    <w:rsid w:val="00202BD4"/>
    <w:rsid w:val="00204A97"/>
    <w:rsid w:val="002114EF"/>
    <w:rsid w:val="00213B43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3A04"/>
    <w:rsid w:val="002B3C36"/>
    <w:rsid w:val="002B4429"/>
    <w:rsid w:val="002B6211"/>
    <w:rsid w:val="002B68A6"/>
    <w:rsid w:val="002B7FAF"/>
    <w:rsid w:val="002C0A67"/>
    <w:rsid w:val="002D0C4F"/>
    <w:rsid w:val="002D1364"/>
    <w:rsid w:val="002D1B8C"/>
    <w:rsid w:val="002D4D30"/>
    <w:rsid w:val="002D5000"/>
    <w:rsid w:val="002D598D"/>
    <w:rsid w:val="002D7188"/>
    <w:rsid w:val="002D7D05"/>
    <w:rsid w:val="002E1DE3"/>
    <w:rsid w:val="002E2AB6"/>
    <w:rsid w:val="002E3F34"/>
    <w:rsid w:val="002E5F79"/>
    <w:rsid w:val="002E64FA"/>
    <w:rsid w:val="002E6B12"/>
    <w:rsid w:val="002F0A00"/>
    <w:rsid w:val="002F0CFA"/>
    <w:rsid w:val="002F6153"/>
    <w:rsid w:val="002F669F"/>
    <w:rsid w:val="002F7CED"/>
    <w:rsid w:val="00301C97"/>
    <w:rsid w:val="00303368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3D5"/>
    <w:rsid w:val="003268F9"/>
    <w:rsid w:val="00330BAF"/>
    <w:rsid w:val="00334E3A"/>
    <w:rsid w:val="003361DD"/>
    <w:rsid w:val="00341A6A"/>
    <w:rsid w:val="00345B9C"/>
    <w:rsid w:val="003460A8"/>
    <w:rsid w:val="00352DAE"/>
    <w:rsid w:val="00354EB9"/>
    <w:rsid w:val="003602AE"/>
    <w:rsid w:val="00360929"/>
    <w:rsid w:val="003647D5"/>
    <w:rsid w:val="003674B0"/>
    <w:rsid w:val="00376CD1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07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3CB5"/>
    <w:rsid w:val="003D4DC7"/>
    <w:rsid w:val="003D7779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6AE3"/>
    <w:rsid w:val="00407332"/>
    <w:rsid w:val="00407828"/>
    <w:rsid w:val="004101E0"/>
    <w:rsid w:val="00413D8E"/>
    <w:rsid w:val="004140F2"/>
    <w:rsid w:val="00417B22"/>
    <w:rsid w:val="00421085"/>
    <w:rsid w:val="0042465E"/>
    <w:rsid w:val="00424827"/>
    <w:rsid w:val="00424DF7"/>
    <w:rsid w:val="00432B76"/>
    <w:rsid w:val="00432F14"/>
    <w:rsid w:val="00434D01"/>
    <w:rsid w:val="00435D26"/>
    <w:rsid w:val="004408B5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67BF7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0FF8"/>
    <w:rsid w:val="004B25E2"/>
    <w:rsid w:val="004B34D7"/>
    <w:rsid w:val="004B5037"/>
    <w:rsid w:val="004B5B2F"/>
    <w:rsid w:val="004B626A"/>
    <w:rsid w:val="004B660E"/>
    <w:rsid w:val="004B6A15"/>
    <w:rsid w:val="004C05BD"/>
    <w:rsid w:val="004C2E6E"/>
    <w:rsid w:val="004C3B06"/>
    <w:rsid w:val="004C3F97"/>
    <w:rsid w:val="004C76BB"/>
    <w:rsid w:val="004C7EE7"/>
    <w:rsid w:val="004D2DEE"/>
    <w:rsid w:val="004D2E1F"/>
    <w:rsid w:val="004D7FD9"/>
    <w:rsid w:val="004E1324"/>
    <w:rsid w:val="004E19A5"/>
    <w:rsid w:val="004E37E5"/>
    <w:rsid w:val="004E3FDB"/>
    <w:rsid w:val="004E79EB"/>
    <w:rsid w:val="004F1F4A"/>
    <w:rsid w:val="004F296D"/>
    <w:rsid w:val="004F508B"/>
    <w:rsid w:val="004F695F"/>
    <w:rsid w:val="004F6CA4"/>
    <w:rsid w:val="00500752"/>
    <w:rsid w:val="0050176E"/>
    <w:rsid w:val="00501A50"/>
    <w:rsid w:val="0050222D"/>
    <w:rsid w:val="00503AF3"/>
    <w:rsid w:val="0050696D"/>
    <w:rsid w:val="0051094B"/>
    <w:rsid w:val="005110D7"/>
    <w:rsid w:val="00511D99"/>
    <w:rsid w:val="005128D3"/>
    <w:rsid w:val="005146AF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2288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890"/>
    <w:rsid w:val="00585F33"/>
    <w:rsid w:val="00586AAC"/>
    <w:rsid w:val="00591124"/>
    <w:rsid w:val="00597024"/>
    <w:rsid w:val="005A0274"/>
    <w:rsid w:val="005A095C"/>
    <w:rsid w:val="005A45B2"/>
    <w:rsid w:val="005A669D"/>
    <w:rsid w:val="005A75D8"/>
    <w:rsid w:val="005B6458"/>
    <w:rsid w:val="005B713E"/>
    <w:rsid w:val="005C03B6"/>
    <w:rsid w:val="005C348E"/>
    <w:rsid w:val="005C68E1"/>
    <w:rsid w:val="005C6923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4AB5"/>
    <w:rsid w:val="005F7812"/>
    <w:rsid w:val="005F7A88"/>
    <w:rsid w:val="00603A1A"/>
    <w:rsid w:val="006046D5"/>
    <w:rsid w:val="00605D75"/>
    <w:rsid w:val="00607A93"/>
    <w:rsid w:val="00610C08"/>
    <w:rsid w:val="00611F74"/>
    <w:rsid w:val="0061324A"/>
    <w:rsid w:val="006133A9"/>
    <w:rsid w:val="00615772"/>
    <w:rsid w:val="00621256"/>
    <w:rsid w:val="00621FCC"/>
    <w:rsid w:val="00622E4B"/>
    <w:rsid w:val="0062533B"/>
    <w:rsid w:val="006333DA"/>
    <w:rsid w:val="00635134"/>
    <w:rsid w:val="006356E2"/>
    <w:rsid w:val="00637713"/>
    <w:rsid w:val="00642A65"/>
    <w:rsid w:val="00645DCE"/>
    <w:rsid w:val="006465AC"/>
    <w:rsid w:val="006465BF"/>
    <w:rsid w:val="00651D06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2D3D"/>
    <w:rsid w:val="006946BB"/>
    <w:rsid w:val="006969FA"/>
    <w:rsid w:val="006A033E"/>
    <w:rsid w:val="006A35D5"/>
    <w:rsid w:val="006A748A"/>
    <w:rsid w:val="006C419E"/>
    <w:rsid w:val="006C4773"/>
    <w:rsid w:val="006C4A31"/>
    <w:rsid w:val="006C5AC2"/>
    <w:rsid w:val="006C6AFB"/>
    <w:rsid w:val="006D2735"/>
    <w:rsid w:val="006D3764"/>
    <w:rsid w:val="006D45B2"/>
    <w:rsid w:val="006E0FCC"/>
    <w:rsid w:val="006E1E96"/>
    <w:rsid w:val="006E4CF6"/>
    <w:rsid w:val="006E5934"/>
    <w:rsid w:val="006E5E21"/>
    <w:rsid w:val="006F2648"/>
    <w:rsid w:val="006F2F10"/>
    <w:rsid w:val="006F482B"/>
    <w:rsid w:val="006F6311"/>
    <w:rsid w:val="00701952"/>
    <w:rsid w:val="00702556"/>
    <w:rsid w:val="0070277E"/>
    <w:rsid w:val="00702DF0"/>
    <w:rsid w:val="00703EE9"/>
    <w:rsid w:val="00704156"/>
    <w:rsid w:val="007069FC"/>
    <w:rsid w:val="00707658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070F"/>
    <w:rsid w:val="007312CC"/>
    <w:rsid w:val="00735CE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91F"/>
    <w:rsid w:val="00757B4F"/>
    <w:rsid w:val="00757B6A"/>
    <w:rsid w:val="007610E0"/>
    <w:rsid w:val="007621AA"/>
    <w:rsid w:val="0076260A"/>
    <w:rsid w:val="0076336F"/>
    <w:rsid w:val="00764A67"/>
    <w:rsid w:val="007674A9"/>
    <w:rsid w:val="00770F6B"/>
    <w:rsid w:val="00771883"/>
    <w:rsid w:val="00776DC2"/>
    <w:rsid w:val="00780122"/>
    <w:rsid w:val="0078214B"/>
    <w:rsid w:val="0078498A"/>
    <w:rsid w:val="00786B50"/>
    <w:rsid w:val="007878FE"/>
    <w:rsid w:val="007909A7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4929"/>
    <w:rsid w:val="007B75BC"/>
    <w:rsid w:val="007C0BD6"/>
    <w:rsid w:val="007C35DB"/>
    <w:rsid w:val="007C3806"/>
    <w:rsid w:val="007C4D35"/>
    <w:rsid w:val="007C5BB7"/>
    <w:rsid w:val="007D07D5"/>
    <w:rsid w:val="007D1C64"/>
    <w:rsid w:val="007D32DD"/>
    <w:rsid w:val="007D6DCE"/>
    <w:rsid w:val="007D72C4"/>
    <w:rsid w:val="007E0517"/>
    <w:rsid w:val="007E2CFE"/>
    <w:rsid w:val="007E59C9"/>
    <w:rsid w:val="007F0072"/>
    <w:rsid w:val="007F2EB6"/>
    <w:rsid w:val="007F54C3"/>
    <w:rsid w:val="007F5ADD"/>
    <w:rsid w:val="00802949"/>
    <w:rsid w:val="0080301E"/>
    <w:rsid w:val="0080365F"/>
    <w:rsid w:val="00806F52"/>
    <w:rsid w:val="00812BE5"/>
    <w:rsid w:val="00817429"/>
    <w:rsid w:val="00820BD3"/>
    <w:rsid w:val="00821514"/>
    <w:rsid w:val="00821E35"/>
    <w:rsid w:val="00824591"/>
    <w:rsid w:val="00824AED"/>
    <w:rsid w:val="00827820"/>
    <w:rsid w:val="00827BAF"/>
    <w:rsid w:val="00831B8B"/>
    <w:rsid w:val="008326D7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577EB"/>
    <w:rsid w:val="0086018B"/>
    <w:rsid w:val="008611DD"/>
    <w:rsid w:val="008620DE"/>
    <w:rsid w:val="00866867"/>
    <w:rsid w:val="00872257"/>
    <w:rsid w:val="008753E6"/>
    <w:rsid w:val="008754A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67C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816"/>
    <w:rsid w:val="008C7233"/>
    <w:rsid w:val="008D2434"/>
    <w:rsid w:val="008D5EFA"/>
    <w:rsid w:val="008E171D"/>
    <w:rsid w:val="008E2048"/>
    <w:rsid w:val="008E2785"/>
    <w:rsid w:val="008E78A3"/>
    <w:rsid w:val="008F0654"/>
    <w:rsid w:val="008F06CB"/>
    <w:rsid w:val="008F2E83"/>
    <w:rsid w:val="008F612A"/>
    <w:rsid w:val="0090293D"/>
    <w:rsid w:val="009034DE"/>
    <w:rsid w:val="00904CBB"/>
    <w:rsid w:val="00905396"/>
    <w:rsid w:val="0090605D"/>
    <w:rsid w:val="00906419"/>
    <w:rsid w:val="00907458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65FA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1C6B"/>
    <w:rsid w:val="009B4CB2"/>
    <w:rsid w:val="009B4DD6"/>
    <w:rsid w:val="009B6701"/>
    <w:rsid w:val="009B6EF7"/>
    <w:rsid w:val="009B7000"/>
    <w:rsid w:val="009B739C"/>
    <w:rsid w:val="009C04EC"/>
    <w:rsid w:val="009C0613"/>
    <w:rsid w:val="009C328C"/>
    <w:rsid w:val="009C4444"/>
    <w:rsid w:val="009C79AD"/>
    <w:rsid w:val="009C7B0F"/>
    <w:rsid w:val="009C7CA6"/>
    <w:rsid w:val="009D3316"/>
    <w:rsid w:val="009D55AA"/>
    <w:rsid w:val="009E090A"/>
    <w:rsid w:val="009E3E77"/>
    <w:rsid w:val="009E3FAB"/>
    <w:rsid w:val="009E5B3F"/>
    <w:rsid w:val="009E7D90"/>
    <w:rsid w:val="009F1AB0"/>
    <w:rsid w:val="009F501D"/>
    <w:rsid w:val="009F569D"/>
    <w:rsid w:val="00A00103"/>
    <w:rsid w:val="00A039D5"/>
    <w:rsid w:val="00A03AF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589D"/>
    <w:rsid w:val="00AA667C"/>
    <w:rsid w:val="00AA6E91"/>
    <w:rsid w:val="00AA7439"/>
    <w:rsid w:val="00AA7B08"/>
    <w:rsid w:val="00AB047E"/>
    <w:rsid w:val="00AB0B0A"/>
    <w:rsid w:val="00AB0BB7"/>
    <w:rsid w:val="00AB22C6"/>
    <w:rsid w:val="00AB2AD0"/>
    <w:rsid w:val="00AB480D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2FBF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5F5B"/>
    <w:rsid w:val="00B07700"/>
    <w:rsid w:val="00B13921"/>
    <w:rsid w:val="00B1528C"/>
    <w:rsid w:val="00B16ACD"/>
    <w:rsid w:val="00B21487"/>
    <w:rsid w:val="00B232D1"/>
    <w:rsid w:val="00B24DB5"/>
    <w:rsid w:val="00B30EC9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3612"/>
    <w:rsid w:val="00B55544"/>
    <w:rsid w:val="00B642FC"/>
    <w:rsid w:val="00B64D26"/>
    <w:rsid w:val="00B64FBB"/>
    <w:rsid w:val="00B70E22"/>
    <w:rsid w:val="00B75BC1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61E6"/>
    <w:rsid w:val="00BA561A"/>
    <w:rsid w:val="00BB0DC6"/>
    <w:rsid w:val="00BB10F5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418D"/>
    <w:rsid w:val="00BE0C44"/>
    <w:rsid w:val="00BE1B8B"/>
    <w:rsid w:val="00BE2A18"/>
    <w:rsid w:val="00BE2C01"/>
    <w:rsid w:val="00BE41EC"/>
    <w:rsid w:val="00BE56FB"/>
    <w:rsid w:val="00BE58AB"/>
    <w:rsid w:val="00BF3DDE"/>
    <w:rsid w:val="00BF6589"/>
    <w:rsid w:val="00BF6F7F"/>
    <w:rsid w:val="00C00647"/>
    <w:rsid w:val="00C02140"/>
    <w:rsid w:val="00C02764"/>
    <w:rsid w:val="00C02C49"/>
    <w:rsid w:val="00C0385C"/>
    <w:rsid w:val="00C04CEF"/>
    <w:rsid w:val="00C0662F"/>
    <w:rsid w:val="00C11943"/>
    <w:rsid w:val="00C12E96"/>
    <w:rsid w:val="00C14763"/>
    <w:rsid w:val="00C16141"/>
    <w:rsid w:val="00C16403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599F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3369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5939"/>
    <w:rsid w:val="00D05D5E"/>
    <w:rsid w:val="00D07A7B"/>
    <w:rsid w:val="00D10E06"/>
    <w:rsid w:val="00D13C98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B4D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B2"/>
    <w:rsid w:val="00D72CC1"/>
    <w:rsid w:val="00D76660"/>
    <w:rsid w:val="00D76EC9"/>
    <w:rsid w:val="00D80E7D"/>
    <w:rsid w:val="00D81397"/>
    <w:rsid w:val="00D83524"/>
    <w:rsid w:val="00D848B9"/>
    <w:rsid w:val="00D84E58"/>
    <w:rsid w:val="00D90E69"/>
    <w:rsid w:val="00D91368"/>
    <w:rsid w:val="00D93106"/>
    <w:rsid w:val="00D933E9"/>
    <w:rsid w:val="00D9505D"/>
    <w:rsid w:val="00D953D0"/>
    <w:rsid w:val="00D959F5"/>
    <w:rsid w:val="00D96884"/>
    <w:rsid w:val="00DA13F9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584E"/>
    <w:rsid w:val="00DC7886"/>
    <w:rsid w:val="00DD0CF2"/>
    <w:rsid w:val="00DE1554"/>
    <w:rsid w:val="00DE2901"/>
    <w:rsid w:val="00DE590F"/>
    <w:rsid w:val="00DE7DC1"/>
    <w:rsid w:val="00DF273D"/>
    <w:rsid w:val="00DF3F7E"/>
    <w:rsid w:val="00DF7648"/>
    <w:rsid w:val="00E006E7"/>
    <w:rsid w:val="00E00E29"/>
    <w:rsid w:val="00E02BAB"/>
    <w:rsid w:val="00E04CEB"/>
    <w:rsid w:val="00E060BC"/>
    <w:rsid w:val="00E068EF"/>
    <w:rsid w:val="00E11420"/>
    <w:rsid w:val="00E132FB"/>
    <w:rsid w:val="00E170B7"/>
    <w:rsid w:val="00E177DD"/>
    <w:rsid w:val="00E20900"/>
    <w:rsid w:val="00E209CC"/>
    <w:rsid w:val="00E20C7F"/>
    <w:rsid w:val="00E2396E"/>
    <w:rsid w:val="00E24728"/>
    <w:rsid w:val="00E276AC"/>
    <w:rsid w:val="00E342D4"/>
    <w:rsid w:val="00E34A35"/>
    <w:rsid w:val="00E37C2F"/>
    <w:rsid w:val="00E41C28"/>
    <w:rsid w:val="00E46308"/>
    <w:rsid w:val="00E51E17"/>
    <w:rsid w:val="00E52679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B7B"/>
    <w:rsid w:val="00E91FAE"/>
    <w:rsid w:val="00E92C01"/>
    <w:rsid w:val="00E96E3F"/>
    <w:rsid w:val="00EA270C"/>
    <w:rsid w:val="00EA4974"/>
    <w:rsid w:val="00EA532E"/>
    <w:rsid w:val="00EB06D9"/>
    <w:rsid w:val="00EB192B"/>
    <w:rsid w:val="00EB19ED"/>
    <w:rsid w:val="00EB1CAB"/>
    <w:rsid w:val="00EB2AFE"/>
    <w:rsid w:val="00EC0F5A"/>
    <w:rsid w:val="00EC4265"/>
    <w:rsid w:val="00EC4CEB"/>
    <w:rsid w:val="00EC659E"/>
    <w:rsid w:val="00ED0349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EF5851"/>
    <w:rsid w:val="00F00B73"/>
    <w:rsid w:val="00F115CA"/>
    <w:rsid w:val="00F14817"/>
    <w:rsid w:val="00F14EBA"/>
    <w:rsid w:val="00F1510F"/>
    <w:rsid w:val="00F1533A"/>
    <w:rsid w:val="00F15E5A"/>
    <w:rsid w:val="00F17F0A"/>
    <w:rsid w:val="00F213AC"/>
    <w:rsid w:val="00F249BF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56F39"/>
    <w:rsid w:val="00F600FE"/>
    <w:rsid w:val="00F60B19"/>
    <w:rsid w:val="00F62E4D"/>
    <w:rsid w:val="00F66B34"/>
    <w:rsid w:val="00F675B9"/>
    <w:rsid w:val="00F711C9"/>
    <w:rsid w:val="00F74C59"/>
    <w:rsid w:val="00F75C3A"/>
    <w:rsid w:val="00F7604E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2C40"/>
    <w:rsid w:val="00FB305C"/>
    <w:rsid w:val="00FC2E3D"/>
    <w:rsid w:val="00FC3BDE"/>
    <w:rsid w:val="00FC5266"/>
    <w:rsid w:val="00FD1DBE"/>
    <w:rsid w:val="00FD25A7"/>
    <w:rsid w:val="00FD27B6"/>
    <w:rsid w:val="00FD28D6"/>
    <w:rsid w:val="00FD3689"/>
    <w:rsid w:val="00FD42A3"/>
    <w:rsid w:val="00FD7468"/>
    <w:rsid w:val="00FD7CE0"/>
    <w:rsid w:val="00FE0B3B"/>
    <w:rsid w:val="00FE1BE2"/>
    <w:rsid w:val="00FE6DF9"/>
    <w:rsid w:val="00FE7291"/>
    <w:rsid w:val="00FE730A"/>
    <w:rsid w:val="00FF1DD7"/>
    <w:rsid w:val="00FF3CAB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67D1A"/>
  <w15:docId w15:val="{67AC55C1-1751-5943-9E2D-C5E3868C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CED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00354C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C02140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Hipercze">
    <w:name w:val="Hyperlink"/>
    <w:basedOn w:val="Domylnaczcionkaakapitu"/>
    <w:uiPriority w:val="99"/>
    <w:semiHidden/>
    <w:rsid w:val="000302A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02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3860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Chowaniec Klaudia</dc:creator>
  <cp:keywords/>
  <dc:description/>
  <cp:lastModifiedBy>Chowaniec Klaudia</cp:lastModifiedBy>
  <cp:revision>2</cp:revision>
  <cp:lastPrinted>2012-04-23T06:39:00Z</cp:lastPrinted>
  <dcterms:created xsi:type="dcterms:W3CDTF">2023-10-04T06:36:00Z</dcterms:created>
  <dcterms:modified xsi:type="dcterms:W3CDTF">2023-10-04T06:36:00Z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